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0E" w:rsidRDefault="00A52D0E" w:rsidP="00A52D0E">
      <w:pPr>
        <w:pStyle w:val="4"/>
        <w:ind w:right="-2"/>
        <w:jc w:val="right"/>
        <w:rPr>
          <w:i/>
          <w:sz w:val="24"/>
          <w:szCs w:val="24"/>
        </w:rPr>
      </w:pPr>
      <w:r w:rsidRPr="00E4688B">
        <w:rPr>
          <w:i/>
          <w:sz w:val="24"/>
          <w:szCs w:val="24"/>
        </w:rPr>
        <w:t>До питання 1</w:t>
      </w:r>
    </w:p>
    <w:p w:rsidR="00A52D0E" w:rsidRPr="00A52D0E" w:rsidRDefault="00A52D0E" w:rsidP="00A52D0E">
      <w:pPr>
        <w:ind w:right="-2" w:firstLine="0"/>
        <w:jc w:val="center"/>
        <w:rPr>
          <w:b/>
          <w:sz w:val="24"/>
          <w:szCs w:val="28"/>
        </w:rPr>
      </w:pPr>
      <w:r w:rsidRPr="00A52D0E">
        <w:rPr>
          <w:b/>
          <w:sz w:val="24"/>
          <w:szCs w:val="28"/>
        </w:rPr>
        <w:t>ІНФОРМАЦІЯ</w:t>
      </w:r>
    </w:p>
    <w:p w:rsidR="00A52D0E" w:rsidRPr="00A52D0E" w:rsidRDefault="00A52D0E" w:rsidP="00A52D0E">
      <w:pPr>
        <w:ind w:right="-2" w:firstLine="0"/>
        <w:jc w:val="center"/>
        <w:rPr>
          <w:b/>
          <w:sz w:val="24"/>
          <w:szCs w:val="26"/>
        </w:rPr>
      </w:pPr>
      <w:r w:rsidRPr="00A52D0E">
        <w:rPr>
          <w:b/>
          <w:sz w:val="24"/>
          <w:szCs w:val="26"/>
        </w:rPr>
        <w:t xml:space="preserve">щодо врахування інтересів ОМС при внесенні змін </w:t>
      </w:r>
    </w:p>
    <w:p w:rsidR="00A52D0E" w:rsidRDefault="00A52D0E" w:rsidP="00A52D0E">
      <w:pPr>
        <w:ind w:firstLine="0"/>
        <w:jc w:val="center"/>
        <w:rPr>
          <w:b/>
          <w:sz w:val="24"/>
          <w:szCs w:val="26"/>
        </w:rPr>
      </w:pPr>
      <w:r w:rsidRPr="00A52D0E">
        <w:rPr>
          <w:b/>
          <w:sz w:val="24"/>
          <w:szCs w:val="26"/>
        </w:rPr>
        <w:t>до Закону України «Про Державний бюджет України на 2017 рік»</w:t>
      </w:r>
    </w:p>
    <w:p w:rsidR="00A52D0E" w:rsidRPr="00A52D0E" w:rsidRDefault="00A52D0E" w:rsidP="00A52D0E">
      <w:pPr>
        <w:ind w:firstLine="0"/>
        <w:jc w:val="center"/>
        <w:rPr>
          <w:b/>
          <w:sz w:val="24"/>
          <w:szCs w:val="26"/>
        </w:rPr>
      </w:pPr>
    </w:p>
    <w:p w:rsidR="00A52D0E" w:rsidRPr="006F79B4" w:rsidRDefault="00A52D0E" w:rsidP="00A52D0E">
      <w:pPr>
        <w:pStyle w:val="a4"/>
        <w:spacing w:before="0"/>
        <w:ind w:right="-2" w:firstLine="720"/>
        <w:jc w:val="both"/>
        <w:rPr>
          <w:rFonts w:ascii="Times New Roman" w:hAnsi="Times New Roman"/>
          <w:sz w:val="24"/>
          <w:szCs w:val="28"/>
        </w:rPr>
      </w:pPr>
      <w:r w:rsidRPr="006F79B4">
        <w:rPr>
          <w:rFonts w:ascii="Times New Roman" w:hAnsi="Times New Roman"/>
          <w:sz w:val="24"/>
          <w:szCs w:val="28"/>
        </w:rPr>
        <w:t xml:space="preserve">Після схвалення прогнозу економічного розвитку та основних </w:t>
      </w:r>
      <w:proofErr w:type="spellStart"/>
      <w:r w:rsidRPr="006F79B4">
        <w:rPr>
          <w:rFonts w:ascii="Times New Roman" w:hAnsi="Times New Roman"/>
          <w:sz w:val="24"/>
          <w:szCs w:val="28"/>
        </w:rPr>
        <w:t>макропоказників</w:t>
      </w:r>
      <w:proofErr w:type="spellEnd"/>
      <w:r w:rsidRPr="006F79B4">
        <w:rPr>
          <w:rFonts w:ascii="Times New Roman" w:hAnsi="Times New Roman"/>
          <w:sz w:val="24"/>
          <w:szCs w:val="28"/>
        </w:rPr>
        <w:t xml:space="preserve"> України на 2017-2019 роки, під впливом низки зовнішніх і внутрішніх чинників </w:t>
      </w:r>
      <w:proofErr w:type="spellStart"/>
      <w:r w:rsidRPr="006F79B4">
        <w:rPr>
          <w:rFonts w:ascii="Times New Roman" w:hAnsi="Times New Roman"/>
          <w:sz w:val="24"/>
          <w:szCs w:val="28"/>
        </w:rPr>
        <w:t>Мінекономрозвитку</w:t>
      </w:r>
      <w:proofErr w:type="spellEnd"/>
      <w:r w:rsidRPr="006F79B4">
        <w:rPr>
          <w:rFonts w:ascii="Times New Roman" w:hAnsi="Times New Roman"/>
          <w:sz w:val="24"/>
          <w:szCs w:val="28"/>
        </w:rPr>
        <w:t xml:space="preserve"> уточнило прогнозні макроекономічні показники на 2017 рік, які були схвалені постановою </w:t>
      </w:r>
      <w:r>
        <w:rPr>
          <w:rFonts w:ascii="Times New Roman" w:hAnsi="Times New Roman"/>
          <w:sz w:val="24"/>
          <w:szCs w:val="28"/>
        </w:rPr>
        <w:t>Уряду</w:t>
      </w:r>
      <w:r w:rsidRPr="006F79B4">
        <w:rPr>
          <w:rFonts w:ascii="Times New Roman" w:hAnsi="Times New Roman"/>
          <w:sz w:val="24"/>
          <w:szCs w:val="28"/>
        </w:rPr>
        <w:t xml:space="preserve"> від 31.05.2017 № 385. Зокрема, приріст ВВП прогнозується на рівні </w:t>
      </w:r>
      <w:r w:rsidRPr="006F79B4">
        <w:rPr>
          <w:rFonts w:ascii="Times New Roman" w:hAnsi="Times New Roman"/>
          <w:b/>
          <w:sz w:val="24"/>
          <w:szCs w:val="28"/>
        </w:rPr>
        <w:t>1,8 %</w:t>
      </w:r>
      <w:r w:rsidRPr="006F79B4">
        <w:rPr>
          <w:rFonts w:ascii="Times New Roman" w:hAnsi="Times New Roman"/>
          <w:sz w:val="24"/>
          <w:szCs w:val="28"/>
        </w:rPr>
        <w:t xml:space="preserve">, номінальний ВВП – </w:t>
      </w:r>
      <w:r w:rsidRPr="006F79B4">
        <w:rPr>
          <w:rFonts w:ascii="Times New Roman" w:hAnsi="Times New Roman"/>
          <w:b/>
          <w:sz w:val="24"/>
          <w:szCs w:val="28"/>
        </w:rPr>
        <w:t xml:space="preserve">2 845,8 млрд грн, </w:t>
      </w:r>
      <w:r w:rsidRPr="006F79B4">
        <w:rPr>
          <w:rFonts w:ascii="Times New Roman" w:hAnsi="Times New Roman"/>
          <w:sz w:val="24"/>
          <w:szCs w:val="28"/>
        </w:rPr>
        <w:t xml:space="preserve">фонд оплати праці в економіці – </w:t>
      </w:r>
      <w:r w:rsidRPr="006F79B4">
        <w:rPr>
          <w:rFonts w:ascii="Times New Roman" w:hAnsi="Times New Roman"/>
          <w:b/>
          <w:sz w:val="24"/>
          <w:szCs w:val="28"/>
        </w:rPr>
        <w:t>796,3 млрд грн</w:t>
      </w:r>
      <w:r w:rsidRPr="006F79B4">
        <w:rPr>
          <w:rFonts w:ascii="Times New Roman" w:hAnsi="Times New Roman"/>
          <w:sz w:val="24"/>
          <w:szCs w:val="28"/>
        </w:rPr>
        <w:t>, середньомісячна заробітна плата – 7</w:t>
      </w:r>
      <w:r w:rsidRPr="006F79B4">
        <w:rPr>
          <w:rFonts w:ascii="Times New Roman" w:hAnsi="Times New Roman"/>
          <w:b/>
          <w:sz w:val="24"/>
          <w:szCs w:val="28"/>
        </w:rPr>
        <w:t>104 грн, тобто</w:t>
      </w:r>
      <w:r w:rsidRPr="006F79B4">
        <w:rPr>
          <w:rFonts w:ascii="Times New Roman" w:hAnsi="Times New Roman"/>
          <w:sz w:val="24"/>
          <w:szCs w:val="28"/>
        </w:rPr>
        <w:t xml:space="preserve"> збільшиться на </w:t>
      </w:r>
      <w:r w:rsidRPr="006F79B4">
        <w:rPr>
          <w:rFonts w:ascii="Times New Roman" w:hAnsi="Times New Roman"/>
          <w:b/>
          <w:sz w:val="24"/>
          <w:szCs w:val="28"/>
        </w:rPr>
        <w:t>21,4%</w:t>
      </w:r>
      <w:r w:rsidRPr="006F79B4">
        <w:rPr>
          <w:rFonts w:ascii="Times New Roman" w:hAnsi="Times New Roman"/>
          <w:sz w:val="24"/>
          <w:szCs w:val="28"/>
        </w:rPr>
        <w:t>.</w:t>
      </w:r>
    </w:p>
    <w:p w:rsidR="00A52D0E" w:rsidRDefault="00A52D0E" w:rsidP="00A52D0E">
      <w:pPr>
        <w:pStyle w:val="a3"/>
        <w:spacing w:before="0" w:beforeAutospacing="0" w:after="0" w:afterAutospacing="0"/>
        <w:ind w:right="-2" w:firstLine="709"/>
        <w:jc w:val="both"/>
      </w:pPr>
      <w:r w:rsidRPr="006F79B4">
        <w:t xml:space="preserve">Проект Закону України №6600 </w:t>
      </w:r>
      <w:r w:rsidRPr="006F79B4">
        <w:rPr>
          <w:color w:val="000000"/>
          <w:spacing w:val="3"/>
        </w:rPr>
        <w:t>«</w:t>
      </w:r>
      <w:r w:rsidRPr="006F79B4">
        <w:t xml:space="preserve">Про внесення змін до Закону України </w:t>
      </w:r>
      <w:r w:rsidRPr="006F79B4">
        <w:rPr>
          <w:color w:val="000000"/>
          <w:spacing w:val="3"/>
        </w:rPr>
        <w:t>"</w:t>
      </w:r>
      <w:r w:rsidRPr="006F79B4">
        <w:t>Про Державний бюджет України на 2017 рік</w:t>
      </w:r>
      <w:r w:rsidRPr="006F79B4">
        <w:rPr>
          <w:color w:val="000000"/>
          <w:spacing w:val="3"/>
        </w:rPr>
        <w:t>"»</w:t>
      </w:r>
      <w:r w:rsidRPr="006F79B4">
        <w:t xml:space="preserve"> (далі - Проект) розроблено Мінфін</w:t>
      </w:r>
      <w:r>
        <w:t>ом</w:t>
      </w:r>
      <w:r w:rsidRPr="006F79B4">
        <w:t xml:space="preserve"> на виконання п. 1 ст. 52 Бюджетного кодексу в зв’язку з уточненням Прогнозу економічного і соціального розвитку України на 2017 рік. Проект підготовлено з метою спрямування перевиконання дохідної частини держбюджету для збільшення видатків на вирішення найнагальніших проблемних питань оборони і безпеки держави, соціально-економічного розвитку та інших нагальних питань.</w:t>
      </w:r>
      <w:r>
        <w:t xml:space="preserve"> </w:t>
      </w:r>
    </w:p>
    <w:p w:rsidR="00A52D0E" w:rsidRPr="006F79B4" w:rsidRDefault="00A52D0E" w:rsidP="00A52D0E">
      <w:pPr>
        <w:ind w:right="-2"/>
        <w:rPr>
          <w:rFonts w:eastAsia="Times New Roman"/>
          <w:sz w:val="24"/>
          <w:lang w:eastAsia="uk-UA"/>
        </w:rPr>
      </w:pPr>
      <w:r w:rsidRPr="006F79B4">
        <w:rPr>
          <w:sz w:val="24"/>
        </w:rPr>
        <w:t xml:space="preserve">21 червня, на засіданні Уряду Проект було схвалено та передано до Верховної Ради України. 22 червня </w:t>
      </w:r>
      <w:r w:rsidRPr="006F79B4">
        <w:rPr>
          <w:rFonts w:eastAsia="Times New Roman"/>
          <w:sz w:val="24"/>
          <w:lang w:eastAsia="uk-UA"/>
        </w:rPr>
        <w:t>Верховна Рада ухвалила законопроект №6600 у першому читанні.</w:t>
      </w:r>
      <w:r>
        <w:rPr>
          <w:rFonts w:eastAsia="Times New Roman"/>
          <w:sz w:val="24"/>
          <w:lang w:eastAsia="uk-UA"/>
        </w:rPr>
        <w:t xml:space="preserve"> Протягом д</w:t>
      </w:r>
      <w:r w:rsidRPr="00CD33A7">
        <w:rPr>
          <w:rFonts w:eastAsia="Times New Roman"/>
          <w:sz w:val="24"/>
          <w:lang w:eastAsia="uk-UA"/>
        </w:rPr>
        <w:t>в</w:t>
      </w:r>
      <w:r>
        <w:rPr>
          <w:rFonts w:eastAsia="Times New Roman"/>
          <w:sz w:val="24"/>
          <w:lang w:eastAsia="uk-UA"/>
        </w:rPr>
        <w:t>ох</w:t>
      </w:r>
      <w:r w:rsidRPr="00CD33A7">
        <w:rPr>
          <w:rFonts w:eastAsia="Times New Roman"/>
          <w:sz w:val="24"/>
          <w:lang w:eastAsia="uk-UA"/>
        </w:rPr>
        <w:t xml:space="preserve"> тижні</w:t>
      </w:r>
      <w:r>
        <w:rPr>
          <w:rFonts w:eastAsia="Times New Roman"/>
          <w:sz w:val="24"/>
          <w:lang w:eastAsia="uk-UA"/>
        </w:rPr>
        <w:t>в до</w:t>
      </w:r>
      <w:r w:rsidRPr="00CD33A7">
        <w:rPr>
          <w:rFonts w:eastAsia="Times New Roman"/>
          <w:sz w:val="24"/>
          <w:lang w:eastAsia="uk-UA"/>
        </w:rPr>
        <w:t xml:space="preserve"> </w:t>
      </w:r>
      <w:r>
        <w:rPr>
          <w:rFonts w:eastAsia="Times New Roman"/>
          <w:sz w:val="24"/>
          <w:lang w:eastAsia="uk-UA"/>
        </w:rPr>
        <w:t xml:space="preserve">Проекту </w:t>
      </w:r>
      <w:r w:rsidRPr="00CD33A7">
        <w:rPr>
          <w:rFonts w:eastAsia="Times New Roman"/>
          <w:sz w:val="24"/>
          <w:lang w:eastAsia="uk-UA"/>
        </w:rPr>
        <w:t>вноситимуться правки</w:t>
      </w:r>
      <w:r>
        <w:rPr>
          <w:rFonts w:eastAsia="Times New Roman"/>
          <w:sz w:val="24"/>
          <w:lang w:eastAsia="uk-UA"/>
        </w:rPr>
        <w:t xml:space="preserve">, а отже запропоновані Урядом </w:t>
      </w:r>
      <w:r w:rsidRPr="00CD33A7">
        <w:rPr>
          <w:rFonts w:eastAsia="Times New Roman"/>
          <w:sz w:val="24"/>
          <w:lang w:eastAsia="uk-UA"/>
        </w:rPr>
        <w:t xml:space="preserve">зміни до держбюджету можуть  </w:t>
      </w:r>
      <w:r>
        <w:rPr>
          <w:rFonts w:eastAsia="Times New Roman"/>
          <w:sz w:val="24"/>
          <w:lang w:eastAsia="uk-UA"/>
        </w:rPr>
        <w:t>на</w:t>
      </w:r>
      <w:r w:rsidRPr="00CD33A7">
        <w:rPr>
          <w:rFonts w:eastAsia="Times New Roman"/>
          <w:sz w:val="24"/>
          <w:lang w:eastAsia="uk-UA"/>
        </w:rPr>
        <w:t xml:space="preserve">бути </w:t>
      </w:r>
      <w:r>
        <w:rPr>
          <w:rFonts w:eastAsia="Times New Roman"/>
          <w:sz w:val="24"/>
          <w:lang w:eastAsia="uk-UA"/>
        </w:rPr>
        <w:t>чинності</w:t>
      </w:r>
      <w:r w:rsidRPr="00CD33A7">
        <w:rPr>
          <w:rFonts w:eastAsia="Times New Roman"/>
          <w:sz w:val="24"/>
          <w:lang w:eastAsia="uk-UA"/>
        </w:rPr>
        <w:t xml:space="preserve">, </w:t>
      </w:r>
      <w:r>
        <w:rPr>
          <w:rFonts w:eastAsia="Times New Roman"/>
          <w:sz w:val="24"/>
          <w:lang w:eastAsia="uk-UA"/>
        </w:rPr>
        <w:t>у</w:t>
      </w:r>
      <w:r w:rsidRPr="00CD33A7">
        <w:rPr>
          <w:rFonts w:eastAsia="Times New Roman"/>
          <w:sz w:val="24"/>
          <w:lang w:eastAsia="uk-UA"/>
        </w:rPr>
        <w:t xml:space="preserve"> </w:t>
      </w:r>
      <w:r>
        <w:rPr>
          <w:rFonts w:eastAsia="Times New Roman"/>
          <w:sz w:val="24"/>
          <w:lang w:eastAsia="uk-UA"/>
        </w:rPr>
        <w:t>випадку їх своєчасного ухвалення Парламентом, до</w:t>
      </w:r>
      <w:r w:rsidRPr="00CD33A7">
        <w:rPr>
          <w:rFonts w:eastAsia="Times New Roman"/>
          <w:sz w:val="24"/>
          <w:lang w:eastAsia="uk-UA"/>
        </w:rPr>
        <w:t xml:space="preserve"> середин</w:t>
      </w:r>
      <w:r>
        <w:rPr>
          <w:rFonts w:eastAsia="Times New Roman"/>
          <w:sz w:val="24"/>
          <w:lang w:eastAsia="uk-UA"/>
        </w:rPr>
        <w:t>и</w:t>
      </w:r>
      <w:r w:rsidRPr="00CD33A7">
        <w:rPr>
          <w:rFonts w:eastAsia="Times New Roman"/>
          <w:sz w:val="24"/>
          <w:lang w:eastAsia="uk-UA"/>
        </w:rPr>
        <w:t xml:space="preserve"> липня</w:t>
      </w:r>
      <w:r>
        <w:rPr>
          <w:rFonts w:eastAsia="Times New Roman"/>
          <w:sz w:val="24"/>
          <w:lang w:eastAsia="uk-UA"/>
        </w:rPr>
        <w:t>.</w:t>
      </w:r>
    </w:p>
    <w:p w:rsidR="00A52D0E" w:rsidRPr="006F79B4" w:rsidRDefault="00A52D0E" w:rsidP="00A52D0E">
      <w:pPr>
        <w:pStyle w:val="rtejustify"/>
        <w:spacing w:before="0" w:beforeAutospacing="0" w:after="0" w:afterAutospacing="0"/>
        <w:ind w:right="-2" w:firstLine="708"/>
        <w:jc w:val="both"/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.85pt;margin-top:112.85pt;width:459pt;height:75.75pt;z-index:251660288" strokecolor="#bfbfbf [2412]" strokeweight="1.75pt">
            <v:fill opacity="40632f"/>
            <v:textbox>
              <w:txbxContent>
                <w:p w:rsidR="00A52D0E" w:rsidRPr="00CD33A7" w:rsidRDefault="00A52D0E" w:rsidP="00A52D0E">
                  <w:pPr>
                    <w:pStyle w:val="a3"/>
                    <w:tabs>
                      <w:tab w:val="left" w:pos="9072"/>
                    </w:tabs>
                    <w:spacing w:before="0" w:beforeAutospacing="0" w:after="120" w:afterAutospacing="0"/>
                    <w:ind w:left="426" w:right="516"/>
                    <w:jc w:val="both"/>
                    <w:rPr>
                      <w:i/>
                    </w:rPr>
                  </w:pPr>
                  <w:r w:rsidRPr="00CD33A7">
                    <w:rPr>
                      <w:b/>
                      <w:i/>
                      <w:u w:val="single"/>
                    </w:rPr>
                    <w:t>Довідк</w:t>
                  </w:r>
                  <w:r>
                    <w:rPr>
                      <w:b/>
                      <w:i/>
                      <w:u w:val="single"/>
                    </w:rPr>
                    <w:t>а</w:t>
                  </w:r>
                  <w:r w:rsidRPr="00CD33A7">
                    <w:rPr>
                      <w:b/>
                      <w:i/>
                      <w:u w:val="single"/>
                    </w:rPr>
                    <w:t>:</w:t>
                  </w:r>
                  <w:r w:rsidRPr="00CD33A7">
                    <w:rPr>
                      <w:i/>
                    </w:rPr>
                    <w:t xml:space="preserve"> На виконання рішення Правління АМУ від 24.04.2017 р. (м. Харків) </w:t>
                  </w:r>
                  <w:r w:rsidRPr="00CD33A7">
                    <w:rPr>
                      <w:b/>
                      <w:i/>
                    </w:rPr>
                    <w:t>Виконавча дирекція АМУ</w:t>
                  </w:r>
                  <w:r w:rsidRPr="00CD33A7">
                    <w:rPr>
                      <w:i/>
                    </w:rPr>
                    <w:t xml:space="preserve"> зібрала інформацію щодо </w:t>
                  </w:r>
                  <w:r w:rsidRPr="00CD33A7">
                    <w:rPr>
                      <w:b/>
                      <w:i/>
                    </w:rPr>
                    <w:t>заборгованості</w:t>
                  </w:r>
                  <w:r w:rsidRPr="00CD33A7">
                    <w:rPr>
                      <w:i/>
                    </w:rPr>
                    <w:t xml:space="preserve"> держбюджету перед підприємствами ЖКГ. За результатом аналізу встановлено, що </w:t>
                  </w:r>
                  <w:r w:rsidRPr="00CD33A7">
                    <w:rPr>
                      <w:b/>
                      <w:i/>
                    </w:rPr>
                    <w:t>недофінансування</w:t>
                  </w:r>
                  <w:r w:rsidRPr="00CD33A7">
                    <w:rPr>
                      <w:i/>
                    </w:rPr>
                    <w:t xml:space="preserve"> по субвенції станом на 1 квітня 2017 року загалом по країні становило близько </w:t>
                  </w:r>
                  <w:r w:rsidRPr="00CD33A7">
                    <w:rPr>
                      <w:b/>
                      <w:i/>
                    </w:rPr>
                    <w:t>31,5 млрд грн</w:t>
                  </w:r>
                  <w:r w:rsidRPr="00CD33A7">
                    <w:rPr>
                      <w:i/>
                    </w:rPr>
                    <w:t>.</w:t>
                  </w:r>
                </w:p>
                <w:p w:rsidR="00A52D0E" w:rsidRDefault="00A52D0E" w:rsidP="00A52D0E"/>
              </w:txbxContent>
            </v:textbox>
          </v:shape>
        </w:pict>
      </w:r>
      <w:r>
        <w:t>Значну частку</w:t>
      </w:r>
      <w:r w:rsidRPr="00CD33A7">
        <w:t xml:space="preserve"> </w:t>
      </w:r>
      <w:r>
        <w:t xml:space="preserve">із </w:t>
      </w:r>
      <w:r w:rsidRPr="005F4923">
        <w:rPr>
          <w:b/>
        </w:rPr>
        <w:t>24 млрд грн</w:t>
      </w:r>
      <w:r>
        <w:t xml:space="preserve"> планується спрямувати на додаткове фінансування </w:t>
      </w:r>
      <w:r w:rsidRPr="00E91DED">
        <w:rPr>
          <w:b/>
        </w:rPr>
        <w:t>першочергових потреб ОМС.</w:t>
      </w:r>
      <w:r>
        <w:t xml:space="preserve"> Зокрема, П</w:t>
      </w:r>
      <w:r w:rsidRPr="006F79B4">
        <w:t xml:space="preserve">роект передбачає перерозподіл </w:t>
      </w:r>
      <w:r w:rsidRPr="006F79B4">
        <w:rPr>
          <w:b/>
        </w:rPr>
        <w:t>24 млрд грн</w:t>
      </w:r>
      <w:r w:rsidRPr="006F79B4">
        <w:t xml:space="preserve"> від перевиконання державного бюджету за доходами. </w:t>
      </w:r>
      <w:r>
        <w:t>При цьому</w:t>
      </w:r>
      <w:r w:rsidRPr="006F79B4">
        <w:t xml:space="preserve">, пропонується збільшити загальний обсяг субвенції з державного бюджету місцевим бюджетам </w:t>
      </w:r>
      <w:r w:rsidRPr="006F79B4">
        <w:rPr>
          <w:b/>
        </w:rPr>
        <w:t>на надання пільг та житлових субсидій населенню на оплату житлово-комунальних послуг на 14,1 млрд грн</w:t>
      </w:r>
      <w:r w:rsidRPr="006F79B4">
        <w:t>.</w:t>
      </w:r>
      <w:r>
        <w:t xml:space="preserve"> </w:t>
      </w:r>
      <w:r w:rsidRPr="00CD33A7">
        <w:t xml:space="preserve">Також передбачається, що сума </w:t>
      </w:r>
      <w:r w:rsidRPr="00CD33A7">
        <w:rPr>
          <w:b/>
        </w:rPr>
        <w:t>перерахунків</w:t>
      </w:r>
      <w:r w:rsidRPr="00CD33A7">
        <w:t xml:space="preserve"> </w:t>
      </w:r>
      <w:proofErr w:type="spellStart"/>
      <w:r w:rsidRPr="00CD33A7">
        <w:t>надлишково</w:t>
      </w:r>
      <w:proofErr w:type="spellEnd"/>
      <w:r w:rsidRPr="00CD33A7">
        <w:t xml:space="preserve"> нарахованих субсидій сягне </w:t>
      </w:r>
      <w:r w:rsidRPr="00CD33A7">
        <w:rPr>
          <w:b/>
        </w:rPr>
        <w:t>10 млрд грн.</w:t>
      </w:r>
      <w:r w:rsidRPr="00CD33A7">
        <w:t xml:space="preserve"> </w:t>
      </w:r>
      <w:r>
        <w:t>Отже</w:t>
      </w:r>
      <w:r w:rsidRPr="00CD33A7">
        <w:t xml:space="preserve">, залишається </w:t>
      </w:r>
      <w:r w:rsidRPr="00CD33A7">
        <w:rPr>
          <w:b/>
        </w:rPr>
        <w:t>неврегульованим</w:t>
      </w:r>
      <w:r w:rsidRPr="00CD33A7">
        <w:t xml:space="preserve"> питання відшкодування близько </w:t>
      </w:r>
      <w:r w:rsidRPr="00CD33A7">
        <w:rPr>
          <w:b/>
        </w:rPr>
        <w:t xml:space="preserve">8 млрд грн </w:t>
      </w:r>
      <w:r>
        <w:t>по субсидіях, питання щодо яких</w:t>
      </w:r>
      <w:r w:rsidRPr="00CD33A7">
        <w:t xml:space="preserve"> спільно опрацьовують</w:t>
      </w:r>
      <w:r>
        <w:t>ся</w:t>
      </w:r>
      <w:r w:rsidRPr="00CD33A7">
        <w:t xml:space="preserve"> </w:t>
      </w:r>
      <w:r>
        <w:t>АМУ</w:t>
      </w:r>
      <w:r w:rsidRPr="00CD33A7">
        <w:t xml:space="preserve"> та Мінфін.</w:t>
      </w:r>
    </w:p>
    <w:p w:rsidR="00A52D0E" w:rsidRDefault="00A52D0E" w:rsidP="00A52D0E">
      <w:pPr>
        <w:pStyle w:val="a3"/>
        <w:spacing w:before="0" w:beforeAutospacing="0" w:after="0" w:afterAutospacing="0"/>
        <w:ind w:firstLine="708"/>
        <w:jc w:val="both"/>
      </w:pPr>
    </w:p>
    <w:p w:rsidR="00A52D0E" w:rsidRDefault="00A52D0E" w:rsidP="00A52D0E">
      <w:pPr>
        <w:pStyle w:val="a3"/>
        <w:spacing w:before="0" w:beforeAutospacing="0" w:after="0" w:afterAutospacing="0"/>
        <w:ind w:firstLine="708"/>
        <w:jc w:val="both"/>
      </w:pPr>
    </w:p>
    <w:p w:rsidR="00A52D0E" w:rsidRDefault="00A52D0E" w:rsidP="00A52D0E">
      <w:pPr>
        <w:pStyle w:val="a3"/>
        <w:spacing w:before="0" w:beforeAutospacing="0" w:after="0" w:afterAutospacing="0"/>
        <w:ind w:firstLine="708"/>
        <w:jc w:val="both"/>
      </w:pPr>
    </w:p>
    <w:p w:rsidR="00A52D0E" w:rsidRDefault="00A52D0E" w:rsidP="00A52D0E">
      <w:pPr>
        <w:pStyle w:val="a3"/>
        <w:spacing w:before="0" w:beforeAutospacing="0" w:after="0" w:afterAutospacing="0"/>
        <w:ind w:firstLine="708"/>
        <w:jc w:val="both"/>
      </w:pPr>
    </w:p>
    <w:p w:rsidR="00A52D0E" w:rsidRDefault="00A52D0E" w:rsidP="00A52D0E">
      <w:pPr>
        <w:pStyle w:val="a3"/>
        <w:spacing w:before="0" w:beforeAutospacing="0" w:after="0" w:afterAutospacing="0"/>
        <w:ind w:firstLine="708"/>
        <w:jc w:val="both"/>
      </w:pPr>
    </w:p>
    <w:p w:rsidR="00A52D0E" w:rsidRDefault="00A52D0E" w:rsidP="00A52D0E">
      <w:pPr>
        <w:pStyle w:val="a3"/>
        <w:spacing w:before="0" w:beforeAutospacing="0" w:after="0" w:afterAutospacing="0"/>
        <w:ind w:firstLine="708"/>
        <w:jc w:val="both"/>
      </w:pPr>
    </w:p>
    <w:p w:rsidR="00A52D0E" w:rsidRPr="00E75D5C" w:rsidRDefault="00A52D0E" w:rsidP="00A52D0E">
      <w:pPr>
        <w:pStyle w:val="a3"/>
        <w:spacing w:before="0" w:beforeAutospacing="0" w:after="0" w:afterAutospacing="0"/>
        <w:ind w:firstLine="708"/>
        <w:jc w:val="both"/>
      </w:pPr>
      <w:r>
        <w:t xml:space="preserve">Крім того, на реформування </w:t>
      </w:r>
      <w:r w:rsidRPr="00E91DED">
        <w:t>медицини</w:t>
      </w:r>
      <w:r>
        <w:t xml:space="preserve"> планується додатково спрямувати </w:t>
      </w:r>
      <w:r w:rsidRPr="00E9311F">
        <w:rPr>
          <w:b/>
        </w:rPr>
        <w:t>1,65 млрд грн</w:t>
      </w:r>
      <w:r>
        <w:t xml:space="preserve">, в т.ч.: на збільшення фінансування субвенції на реформування охорони здоров’я для здійснення заходів проекту «Поліпшення охорони здоров’я на службі у людей» – </w:t>
      </w:r>
      <w:r w:rsidRPr="00A9623B">
        <w:rPr>
          <w:b/>
        </w:rPr>
        <w:t>1,0 млрд грн</w:t>
      </w:r>
      <w:r>
        <w:rPr>
          <w:b/>
        </w:rPr>
        <w:t xml:space="preserve">, </w:t>
      </w:r>
      <w:r>
        <w:t xml:space="preserve">на збільшення фінансування додаткової медичної субвенції місцевим </w:t>
      </w:r>
      <w:r w:rsidRPr="00E75D5C">
        <w:t xml:space="preserve">бюджетам – </w:t>
      </w:r>
      <w:r w:rsidRPr="00A9623B">
        <w:rPr>
          <w:b/>
        </w:rPr>
        <w:t>450 млн грн</w:t>
      </w:r>
      <w:r>
        <w:t xml:space="preserve">, на </w:t>
      </w:r>
      <w:r w:rsidRPr="00E75D5C">
        <w:t xml:space="preserve">програму </w:t>
      </w:r>
      <w:proofErr w:type="spellStart"/>
      <w:r w:rsidRPr="00E75D5C">
        <w:t>реімбурсаці</w:t>
      </w:r>
      <w:r>
        <w:t>ї</w:t>
      </w:r>
      <w:proofErr w:type="spellEnd"/>
      <w:r w:rsidRPr="00E75D5C">
        <w:t xml:space="preserve"> вартості ліків «Доступні ліки» – </w:t>
      </w:r>
      <w:r w:rsidRPr="00A9623B">
        <w:rPr>
          <w:b/>
        </w:rPr>
        <w:t>200 млн грн</w:t>
      </w:r>
      <w:r>
        <w:t>.</w:t>
      </w:r>
    </w:p>
    <w:p w:rsidR="00A52D0E" w:rsidRDefault="00A52D0E" w:rsidP="00A52D0E">
      <w:pPr>
        <w:pStyle w:val="rtejustify"/>
        <w:spacing w:before="0" w:beforeAutospacing="0" w:after="0" w:afterAutospacing="0"/>
        <w:ind w:firstLine="708"/>
        <w:jc w:val="both"/>
      </w:pPr>
      <w:r w:rsidRPr="00E91DED">
        <w:t xml:space="preserve">На реалізацію інфраструктурних проектів додатково виділяється </w:t>
      </w:r>
      <w:r w:rsidRPr="00E91DED">
        <w:rPr>
          <w:b/>
        </w:rPr>
        <w:t>927,7 млн грн</w:t>
      </w:r>
      <w:r w:rsidRPr="00E91DED">
        <w:t xml:space="preserve">, в т.ч. на нову бюджетну програму «Покращання стану автодоріг за маршрутом Львів-Тернопіль-Умань; Біла Церква-Одеса-Миколаїв» – </w:t>
      </w:r>
      <w:r w:rsidRPr="00E91DED">
        <w:rPr>
          <w:b/>
        </w:rPr>
        <w:t>800 млн грн</w:t>
      </w:r>
      <w:r w:rsidRPr="00E91DED">
        <w:t xml:space="preserve">, для </w:t>
      </w:r>
      <w:proofErr w:type="spellStart"/>
      <w:r w:rsidRPr="00E91DED">
        <w:t>співфінансування</w:t>
      </w:r>
      <w:proofErr w:type="spellEnd"/>
      <w:r w:rsidRPr="00E91DED">
        <w:t xml:space="preserve"> ремонту, реконструкції, будівництва </w:t>
      </w:r>
      <w:proofErr w:type="spellStart"/>
      <w:r w:rsidRPr="00E91DED">
        <w:t>ЦНАПів</w:t>
      </w:r>
      <w:proofErr w:type="spellEnd"/>
      <w:r w:rsidRPr="00E91DED">
        <w:t xml:space="preserve"> «Прозорий офіс» у містах Дніпро, Житомир, </w:t>
      </w:r>
      <w:proofErr w:type="spellStart"/>
      <w:r w:rsidRPr="00E91DED">
        <w:t>Кам’янське</w:t>
      </w:r>
      <w:proofErr w:type="spellEnd"/>
      <w:r w:rsidRPr="00E91DED">
        <w:t xml:space="preserve">, Київ, Кропивницький, Львів, Новоград-Волинський, Одеса, Харків та Черкаси – </w:t>
      </w:r>
      <w:r w:rsidRPr="00E91DED">
        <w:rPr>
          <w:b/>
        </w:rPr>
        <w:t>50 млн грн</w:t>
      </w:r>
      <w:r w:rsidRPr="00E91DED">
        <w:t xml:space="preserve">, на створення житла для дитячих будинків сімейного типу – </w:t>
      </w:r>
      <w:r w:rsidRPr="00E91DED">
        <w:rPr>
          <w:b/>
        </w:rPr>
        <w:t>77,7 млн грн</w:t>
      </w:r>
      <w:r w:rsidRPr="00E91DED">
        <w:t>.</w:t>
      </w:r>
    </w:p>
    <w:p w:rsidR="00A52D0E" w:rsidRPr="00E91DED" w:rsidRDefault="00A52D0E" w:rsidP="00A52D0E">
      <w:pPr>
        <w:pStyle w:val="rtejustify"/>
        <w:spacing w:before="0" w:beforeAutospacing="0" w:after="0" w:afterAutospacing="0"/>
        <w:ind w:firstLine="708"/>
        <w:jc w:val="both"/>
        <w:rPr>
          <w:highlight w:val="yellow"/>
        </w:rPr>
      </w:pPr>
      <w:r>
        <w:t xml:space="preserve">Додатково на потреби </w:t>
      </w:r>
      <w:r w:rsidRPr="000431AF">
        <w:t>Фонду енергоефективності,</w:t>
      </w:r>
      <w:r>
        <w:t xml:space="preserve"> в рамках реалізації програми «теплих кредитів» виділяється </w:t>
      </w:r>
      <w:r w:rsidRPr="00E9311F">
        <w:rPr>
          <w:b/>
        </w:rPr>
        <w:t>100 млн грн</w:t>
      </w:r>
      <w:r>
        <w:t>.</w:t>
      </w:r>
    </w:p>
    <w:p w:rsidR="00A80001" w:rsidRDefault="00A52D0E" w:rsidP="00A52D0E">
      <w:pPr>
        <w:pStyle w:val="rtejustify"/>
        <w:spacing w:before="0" w:beforeAutospacing="0" w:after="0" w:afterAutospacing="0"/>
        <w:ind w:firstLine="708"/>
        <w:jc w:val="both"/>
      </w:pPr>
      <w:r>
        <w:t xml:space="preserve">Також, в законопроекті №6600 враховані кошти в сумі </w:t>
      </w:r>
      <w:r w:rsidRPr="00E9311F">
        <w:rPr>
          <w:b/>
        </w:rPr>
        <w:t>5,9 млрд грн</w:t>
      </w:r>
      <w:r>
        <w:t>, що передаються до місцевих бюджетів з державного бюджету для фінансового забезпечення реалізації заходів, передбачених п.33 розділу IV Бюджетного кодексу (</w:t>
      </w:r>
      <w:r w:rsidRPr="00844A9C">
        <w:rPr>
          <w:b/>
        </w:rPr>
        <w:t xml:space="preserve">митний експеримент по фінансуванню </w:t>
      </w:r>
      <w:r w:rsidRPr="000431AF">
        <w:rPr>
          <w:b/>
          <w:color w:val="000000" w:themeColor="text1"/>
        </w:rPr>
        <w:t>автомобільних доріг</w:t>
      </w:r>
      <w:r w:rsidRPr="000431AF">
        <w:rPr>
          <w:color w:val="000000" w:themeColor="text1"/>
        </w:rPr>
        <w:t xml:space="preserve">) за підсумками </w:t>
      </w:r>
      <w:r w:rsidRPr="000431AF">
        <w:rPr>
          <w:b/>
          <w:color w:val="000000" w:themeColor="text1"/>
        </w:rPr>
        <w:t>січня-травня 2017 року</w:t>
      </w:r>
      <w:r w:rsidRPr="000431AF">
        <w:rPr>
          <w:color w:val="000000" w:themeColor="text1"/>
        </w:rPr>
        <w:t>.</w:t>
      </w:r>
    </w:p>
    <w:sectPr w:rsidR="00A80001" w:rsidSect="00A800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2D0E"/>
    <w:rsid w:val="00A52D0E"/>
    <w:rsid w:val="00A80001"/>
    <w:rsid w:val="00E70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0E"/>
    <w:pPr>
      <w:spacing w:after="0" w:line="240" w:lineRule="auto"/>
      <w:ind w:firstLine="709"/>
      <w:jc w:val="both"/>
    </w:pPr>
    <w:rPr>
      <w:rFonts w:ascii="Times New Roman" w:eastAsia="MS Mincho" w:hAnsi="Times New Roman" w:cs="Times New Roman"/>
      <w:sz w:val="28"/>
      <w:szCs w:val="24"/>
      <w:lang w:eastAsia="ja-JP"/>
    </w:rPr>
  </w:style>
  <w:style w:type="paragraph" w:styleId="4">
    <w:name w:val="heading 4"/>
    <w:basedOn w:val="a"/>
    <w:next w:val="a"/>
    <w:link w:val="40"/>
    <w:qFormat/>
    <w:rsid w:val="00A52D0E"/>
    <w:pPr>
      <w:keepNext/>
      <w:ind w:firstLine="0"/>
      <w:outlineLvl w:val="3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2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A52D0E"/>
    <w:pPr>
      <w:spacing w:before="100" w:beforeAutospacing="1" w:after="100" w:afterAutospacing="1"/>
      <w:ind w:firstLine="0"/>
      <w:jc w:val="left"/>
    </w:pPr>
    <w:rPr>
      <w:rFonts w:eastAsiaTheme="minorEastAsia"/>
      <w:sz w:val="24"/>
      <w:lang w:eastAsia="uk-UA"/>
    </w:rPr>
  </w:style>
  <w:style w:type="paragraph" w:customStyle="1" w:styleId="a4">
    <w:name w:val="Нормальний текст"/>
    <w:basedOn w:val="a"/>
    <w:rsid w:val="00A52D0E"/>
    <w:pPr>
      <w:spacing w:before="120"/>
      <w:ind w:firstLine="567"/>
      <w:jc w:val="left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rtejustify">
    <w:name w:val="rtejustify"/>
    <w:basedOn w:val="a"/>
    <w:rsid w:val="00A52D0E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2228</Words>
  <Characters>1271</Characters>
  <Application>Microsoft Office Word</Application>
  <DocSecurity>0</DocSecurity>
  <Lines>10</Lines>
  <Paragraphs>6</Paragraphs>
  <ScaleCrop>false</ScaleCrop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o.pyltyay</dc:creator>
  <cp:lastModifiedBy>o.pyltyay</cp:lastModifiedBy>
  <cp:revision>1</cp:revision>
  <dcterms:created xsi:type="dcterms:W3CDTF">2017-06-26T06:06:00Z</dcterms:created>
  <dcterms:modified xsi:type="dcterms:W3CDTF">2017-06-26T06:07:00Z</dcterms:modified>
</cp:coreProperties>
</file>